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right="115" w:hanging="994"/>
        <w:jc w:val="right"/>
      </w:pPr>
      <w:r>
        <w:rPr/>
        <w:t>ADOPTED – OCTOBER 13, 2026 AGENDA ITEM NO. 22</w:t>
      </w:r>
    </w:p>
    <w:p>
      <w:pPr>
        <w:pStyle w:val="BodyText"/>
        <w:spacing w:before="2"/>
        <w:rPr>
          <w:b/>
          <w:sz w:val="16"/>
        </w:rPr>
      </w:pPr>
    </w:p>
    <w:p>
      <w:pPr>
        <w:pStyle w:val="BodyText"/>
        <w:spacing w:before="90"/>
        <w:ind w:left="100"/>
        <w:jc w:val="both"/>
      </w:pPr>
      <w:r>
        <w:rPr/>
        <w:t>Introduced by the County Services and Finance Committees of the:</w:t>
      </w:r>
    </w:p>
    <w:p>
      <w:pPr>
        <w:pStyle w:val="BodyText"/>
      </w:pPr>
    </w:p>
    <w:p>
      <w:pPr>
        <w:pStyle w:val="BodyText"/>
        <w:ind w:left="194" w:right="215"/>
        <w:jc w:val="center"/>
      </w:pPr>
      <w:r>
        <w:rPr/>
        <w:t>INGHAM COUNTY BOARD OF COMMISSIONERS</w:t>
      </w:r>
    </w:p>
    <w:p>
      <w:pPr>
        <w:pStyle w:val="BodyText"/>
      </w:pPr>
    </w:p>
    <w:p>
      <w:pPr>
        <w:pStyle w:val="Heading1"/>
      </w:pPr>
      <w:r>
        <w:rPr/>
        <w:t>RESOLUTION AUTHORIZING THE TRANSFER OF FUNDS FROM THE CONTINGENCY FUND TO THE EQUALIZATION DEPARTMENT FOR THE PURCHASE OF A MEMBERSHIP WITH CREXI AND VARIOUS LINE-ITEM ADJUSTMENTS</w:t>
      </w:r>
    </w:p>
    <w:p>
      <w:pPr>
        <w:pStyle w:val="BodyText"/>
        <w:rPr>
          <w:b/>
        </w:rPr>
      </w:pPr>
    </w:p>
    <w:p>
      <w:pPr>
        <w:spacing w:before="0"/>
        <w:ind w:left="196" w:right="215" w:firstLine="0"/>
        <w:jc w:val="center"/>
        <w:rPr>
          <w:b/>
          <w:sz w:val="24"/>
        </w:rPr>
      </w:pPr>
      <w:r>
        <w:rPr>
          <w:b/>
          <w:sz w:val="24"/>
        </w:rPr>
        <w:t>RESOLUTION #26 – 486</w:t>
      </w:r>
    </w:p>
    <w:p>
      <w:pPr>
        <w:pStyle w:val="BodyText"/>
        <w:rPr>
          <w:b/>
          <w:sz w:val="26"/>
        </w:rPr>
      </w:pPr>
    </w:p>
    <w:p>
      <w:pPr>
        <w:pStyle w:val="BodyText"/>
        <w:rPr>
          <w:b/>
          <w:sz w:val="22"/>
        </w:rPr>
      </w:pPr>
    </w:p>
    <w:p>
      <w:pPr>
        <w:pStyle w:val="BodyText"/>
        <w:ind w:left="100" w:right="360"/>
        <w:jc w:val="both"/>
      </w:pPr>
      <w:r>
        <w:rPr/>
        <w:t>WHEREAS, the Equalization Director has recommended purchasing a membership with Crexi, a cloud-based software program to obtain sales data on commercial and industrial properties throughout the County at a cost of $3,500 annually; and</w:t>
      </w:r>
    </w:p>
    <w:p>
      <w:pPr>
        <w:pStyle w:val="BodyText"/>
      </w:pPr>
    </w:p>
    <w:p>
      <w:pPr>
        <w:pStyle w:val="BodyText"/>
        <w:ind w:left="100" w:right="182"/>
      </w:pPr>
      <w:r>
        <w:rPr/>
        <w:t>WHEREAS, this membership will allow the Equalization Department to look up details surrounding the sales of properties throughout the County, and the entire State, which would grant them access to information to calculate accurate capitalization rates and income/expense data to conduct income approaches to value commercial and industrial appraisals; and</w:t>
      </w:r>
    </w:p>
    <w:p>
      <w:pPr>
        <w:pStyle w:val="BodyText"/>
        <w:spacing w:before="3"/>
      </w:pPr>
    </w:p>
    <w:p>
      <w:pPr>
        <w:pStyle w:val="BodyText"/>
        <w:ind w:left="100" w:right="169"/>
      </w:pPr>
      <w:r>
        <w:rPr/>
        <w:t>WHEREAS, the County is nearing the final quarter of the FY2026 budget year, and sufficient funds are not available within the 2026 Equalization Department’s budget to purchase the membership and were not included in the FY2027 Equalization Department’s budget request; and</w:t>
      </w:r>
    </w:p>
    <w:p>
      <w:pPr>
        <w:pStyle w:val="BodyText"/>
      </w:pPr>
    </w:p>
    <w:p>
      <w:pPr>
        <w:pStyle w:val="BodyText"/>
        <w:ind w:left="100" w:right="623"/>
      </w:pPr>
      <w:r>
        <w:rPr/>
        <w:t>WHEREAS, review of the Equalization Department’s budget resulted in the projection of several line-item deficits; and</w:t>
      </w:r>
    </w:p>
    <w:p>
      <w:pPr>
        <w:pStyle w:val="BodyText"/>
      </w:pPr>
    </w:p>
    <w:p>
      <w:pPr>
        <w:pStyle w:val="BodyText"/>
        <w:ind w:left="100" w:right="268"/>
        <w:jc w:val="both"/>
      </w:pPr>
      <w:r>
        <w:rPr/>
        <w:t>WHEREAS, a transfer from the Contingency Fund in the amount of $10,000 to the Equalization Department’s budget is recommended to purchase the Crexi membership for 2026 and 2027 for a total cost of $7,000 and the remaining funds will be used to adjust the various line-item deficits within the department’s 2026 budget.</w:t>
      </w:r>
    </w:p>
    <w:p>
      <w:pPr>
        <w:pStyle w:val="BodyText"/>
      </w:pPr>
    </w:p>
    <w:p>
      <w:pPr>
        <w:pStyle w:val="BodyText"/>
        <w:ind w:left="100" w:right="121"/>
      </w:pPr>
      <w:r>
        <w:rPr/>
        <w:t>THEREFORE BE IT RESOLVED, that the Ingham County Board of Commissioners authorizes the purchase of a membership for Crexi software at a cost of $3,500 annually.</w:t>
      </w:r>
    </w:p>
    <w:p>
      <w:pPr>
        <w:pStyle w:val="BodyText"/>
      </w:pPr>
    </w:p>
    <w:p>
      <w:pPr>
        <w:pStyle w:val="BodyText"/>
        <w:ind w:left="100"/>
      </w:pPr>
      <w:r>
        <w:rPr/>
        <w:t>BE IT FURTHER RESOLVED, that the Board authorizes the transfer of $10,000 from the Contingency Fund to the Equalization Department’s budget with $3,500 to be utilized for the purchase of the Crexi membership for 2026 and $3,500 to be included in the 2027 budget and allocated for the annual membership cost, and the remaining $3,000 will be used to adjust various line-item deficits within the 2026 Equalization Department’s budget.</w:t>
      </w:r>
    </w:p>
    <w:p>
      <w:pPr>
        <w:pStyle w:val="BodyText"/>
      </w:pPr>
    </w:p>
    <w:p>
      <w:pPr>
        <w:pStyle w:val="BodyText"/>
        <w:ind w:left="100" w:right="182"/>
      </w:pPr>
      <w:r>
        <w:rPr/>
        <w:t>BE IT FURTHER RESOLVED, that the Controller/Administrator is authorized to make the necessary budget adjustments.</w:t>
      </w:r>
    </w:p>
    <w:p>
      <w:pPr>
        <w:pStyle w:val="BodyText"/>
      </w:pPr>
    </w:p>
    <w:p>
      <w:pPr>
        <w:pStyle w:val="BodyText"/>
        <w:ind w:left="100" w:right="628"/>
      </w:pPr>
      <w:r>
        <w:rPr/>
        <w:t>BE IT FURTHER RESOLVED, that the Board Chairperson is authorized to sign any necessary documents upon approval as to form by the County Attorney.</w:t>
      </w:r>
    </w:p>
    <w:p>
      <w:pPr>
        <w:spacing w:after="0"/>
        <w:sectPr>
          <w:type w:val="continuous"/>
          <w:pgSz w:w="12240" w:h="15840"/>
          <w:pgMar w:top="1360" w:bottom="280" w:left="620" w:right="600"/>
        </w:sectPr>
      </w:pPr>
    </w:p>
    <w:p>
      <w:pPr>
        <w:spacing w:before="79"/>
        <w:ind w:left="100" w:right="0" w:firstLine="0"/>
        <w:jc w:val="left"/>
        <w:rPr>
          <w:sz w:val="24"/>
        </w:rPr>
      </w:pPr>
      <w:r>
        <w:rPr>
          <w:b/>
          <w:sz w:val="24"/>
        </w:rPr>
        <w:t>COUNTY SERVICES: Yeas: </w:t>
      </w:r>
      <w:r>
        <w:rPr>
          <w:sz w:val="24"/>
        </w:rPr>
        <w:t>Pratt, Lawrence, Grebner, Sebolt, Peña, Maiville, Ruest</w:t>
      </w:r>
    </w:p>
    <w:p>
      <w:pPr>
        <w:tabs>
          <w:tab w:pos="2211" w:val="left" w:leader="none"/>
          <w:tab w:pos="4160"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pStyle w:val="BodyText"/>
        <w:spacing w:before="6"/>
        <w:rPr>
          <w:b/>
          <w:sz w:val="27"/>
        </w:rPr>
      </w:pPr>
    </w:p>
    <w:p>
      <w:pPr>
        <w:spacing w:before="0"/>
        <w:ind w:left="100" w:right="0" w:firstLine="0"/>
        <w:jc w:val="left"/>
        <w:rPr>
          <w:sz w:val="24"/>
        </w:rPr>
      </w:pPr>
      <w:r>
        <w:rPr>
          <w:b/>
          <w:sz w:val="24"/>
        </w:rPr>
        <w:t>FINANCE: Yeas: </w:t>
      </w:r>
      <w:r>
        <w:rPr>
          <w:sz w:val="24"/>
        </w:rPr>
        <w:t>Grebner, Morgan, Sebolt, Polsdofer, Pratt, Maiville</w:t>
      </w:r>
    </w:p>
    <w:p>
      <w:pPr>
        <w:tabs>
          <w:tab w:pos="2163"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96" w:right="21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2026-10-14T17:21:36Z</dcterms:created>
  <dcterms:modified xsi:type="dcterms:W3CDTF">2026-10-14T17:21:36Z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